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8B60E0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8B60E0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8B60E0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8B60E0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8B60E0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9B2AD3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OŚWIADCZENIE</w:t>
      </w:r>
    </w:p>
    <w:p w14:paraId="2E2E60EC" w14:textId="5B7AEC69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 niepodleganiu wykluczeniu na podstawie</w:t>
      </w:r>
      <w:r w:rsidR="00D85C62">
        <w:rPr>
          <w:rFonts w:asciiTheme="minorHAnsi" w:hAnsiTheme="minorHAnsi" w:cstheme="minorHAnsi"/>
          <w:b/>
          <w:szCs w:val="24"/>
          <w:u w:val="single"/>
          <w:lang w:eastAsia="ar-SA"/>
        </w:rPr>
        <w:t xml:space="preserve"> </w:t>
      </w: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ustawy sankcyjnej</w:t>
      </w:r>
    </w:p>
    <w:p w14:paraId="4448FB2D" w14:textId="77777777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oraz o spełnieniu warunków udziału w postępowaniu</w:t>
      </w:r>
    </w:p>
    <w:p w14:paraId="368389A6" w14:textId="77777777" w:rsidR="009531DF" w:rsidRPr="005215C9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4853FAAE" w14:textId="12508208" w:rsidR="002F6E1E" w:rsidRPr="005215C9" w:rsidRDefault="002F6E1E" w:rsidP="002F6E1E">
      <w:pPr>
        <w:suppressAutoHyphens/>
        <w:spacing w:after="60"/>
        <w:ind w:firstLine="0"/>
        <w:outlineLvl w:val="1"/>
        <w:rPr>
          <w:rFonts w:asciiTheme="minorHAnsi" w:hAnsiTheme="minorHAnsi" w:cstheme="minorHAnsi"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Ubiegając się o udzielenie zamówienia</w:t>
      </w:r>
      <w:r w:rsidR="007615E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w postępowaniu </w:t>
      </w:r>
      <w:r w:rsidRPr="005215C9">
        <w:rPr>
          <w:rFonts w:asciiTheme="minorHAnsi" w:hAnsiTheme="minorHAnsi" w:cstheme="minorHAnsi"/>
          <w:iCs/>
          <w:szCs w:val="24"/>
        </w:rPr>
        <w:t>na</w:t>
      </w:r>
      <w:r w:rsidR="009660BC">
        <w:rPr>
          <w:rFonts w:asciiTheme="minorHAnsi" w:hAnsiTheme="minorHAnsi" w:cstheme="minorHAnsi"/>
          <w:iCs/>
          <w:szCs w:val="24"/>
        </w:rPr>
        <w:t xml:space="preserve"> </w:t>
      </w:r>
      <w:r w:rsidR="009660BC" w:rsidRPr="009660BC">
        <w:rPr>
          <w:rFonts w:asciiTheme="minorHAnsi" w:hAnsiTheme="minorHAnsi" w:cstheme="minorHAnsi"/>
          <w:b/>
          <w:bCs/>
        </w:rPr>
        <w:t>Wykonywanie czynności służących zapewnieniu prawidłowego funkcjonowania systemów zabezpieczeń elektronicznych w Muzeum Żołnierzy Wyklętych i Więźniów Politycznych PRL (w organizacji) w Warszawie przy ulicy Rakowieckiej 37 poprzez świadczenie usług przeglądów i konserwacji</w:t>
      </w:r>
      <w:r w:rsidR="0092442C" w:rsidRPr="009660BC">
        <w:rPr>
          <w:rFonts w:asciiTheme="minorHAnsi" w:hAnsiTheme="minorHAnsi" w:cstheme="minorHAnsi"/>
          <w:b/>
        </w:rPr>
        <w:t>,</w:t>
      </w:r>
      <w:r w:rsidR="0092442C" w:rsidRPr="006905B1">
        <w:rPr>
          <w:rFonts w:asciiTheme="minorHAnsi" w:hAnsiTheme="minorHAnsi" w:cstheme="minorHAnsi"/>
          <w:iCs/>
          <w:szCs w:val="24"/>
        </w:rPr>
        <w:t xml:space="preserve"> </w:t>
      </w:r>
      <w:r w:rsidR="0092442C">
        <w:rPr>
          <w:rFonts w:asciiTheme="minorHAnsi" w:hAnsiTheme="minorHAnsi" w:cstheme="minorHAnsi"/>
          <w:iCs/>
          <w:szCs w:val="24"/>
        </w:rPr>
        <w:t xml:space="preserve">prowadzonym </w:t>
      </w:r>
      <w:r w:rsidR="0092442C" w:rsidRPr="003E74D5">
        <w:rPr>
          <w:rFonts w:asciiTheme="minorHAnsi" w:hAnsiTheme="minorHAnsi" w:cstheme="minorHAnsi"/>
          <w:iCs/>
          <w:szCs w:val="24"/>
        </w:rPr>
        <w:t xml:space="preserve">przez </w:t>
      </w:r>
      <w:r w:rsidR="0092442C" w:rsidRPr="003E74D5">
        <w:rPr>
          <w:rFonts w:asciiTheme="minorHAnsi" w:hAnsiTheme="minorHAnsi" w:cstheme="minorHAnsi"/>
        </w:rPr>
        <w:t>Muzeum Żołnierzy Wyklętych i Więźniów politycznych PRL (w organizacji)</w:t>
      </w:r>
      <w:r w:rsidR="00B718FD">
        <w:rPr>
          <w:rFonts w:asciiTheme="minorHAnsi" w:hAnsiTheme="minorHAnsi" w:cstheme="minorHAnsi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oświadczamy, że: </w:t>
      </w:r>
    </w:p>
    <w:p w14:paraId="0D63EF9A" w14:textId="77777777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brak jest podstaw do wykluczenia Wykonawcy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Pr="005215C9">
        <w:rPr>
          <w:rFonts w:asciiTheme="minorHAnsi" w:hAnsiTheme="minorHAnsi" w:cstheme="minorHAnsi"/>
          <w:szCs w:val="24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– zwanej dalej </w:t>
      </w:r>
      <w:r w:rsidRPr="005215C9">
        <w:rPr>
          <w:rFonts w:asciiTheme="minorHAnsi" w:hAnsiTheme="minorHAnsi" w:cstheme="minorHAnsi"/>
          <w:b/>
          <w:szCs w:val="24"/>
          <w:lang w:eastAsia="ar-SA"/>
        </w:rPr>
        <w:t>„ustawą sankcyjną”</w:t>
      </w:r>
      <w:r w:rsidRPr="005215C9">
        <w:rPr>
          <w:rFonts w:asciiTheme="minorHAnsi" w:hAnsiTheme="minorHAnsi" w:cstheme="minorHAnsi"/>
          <w:szCs w:val="24"/>
          <w:lang w:eastAsia="ar-SA"/>
        </w:rPr>
        <w:t>;</w:t>
      </w:r>
    </w:p>
    <w:p w14:paraId="4DEB9BEB" w14:textId="5F243D58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Wykonawca spełnia warunki udziału w postępowaniu określone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 xml:space="preserve"> w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Za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pytaniu </w:t>
      </w:r>
      <w:r w:rsidR="00FE7415">
        <w:rPr>
          <w:rFonts w:asciiTheme="minorHAnsi" w:hAnsiTheme="minorHAnsi" w:cstheme="minorHAnsi"/>
          <w:szCs w:val="24"/>
          <w:lang w:eastAsia="ar-SA"/>
        </w:rPr>
        <w:t>O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>fertowym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.</w:t>
      </w:r>
    </w:p>
    <w:p w14:paraId="6F44722E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9039B2" w:rsidRDefault="009531DF" w:rsidP="00992D9F">
      <w:pPr>
        <w:ind w:firstLine="0"/>
        <w:rPr>
          <w:rFonts w:asciiTheme="minorHAnsi" w:hAnsiTheme="minorHAnsi" w:cstheme="minorHAnsi"/>
          <w:sz w:val="14"/>
          <w:szCs w:val="14"/>
          <w:u w:val="single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u w:val="single"/>
          <w:lang w:eastAsia="pl-PL"/>
        </w:rPr>
        <w:t>Instrukcja wypełniania:</w:t>
      </w:r>
    </w:p>
    <w:p w14:paraId="691CDDF5" w14:textId="77777777" w:rsidR="009531DF" w:rsidRPr="009039B2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4"/>
          <w:szCs w:val="14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lang w:eastAsia="pl-PL"/>
        </w:rPr>
        <w:t xml:space="preserve">- </w:t>
      </w:r>
      <w:r w:rsidR="009531DF" w:rsidRPr="009039B2">
        <w:rPr>
          <w:rFonts w:asciiTheme="minorHAnsi" w:hAnsiTheme="minorHAnsi" w:cstheme="minorHAnsi"/>
          <w:sz w:val="14"/>
          <w:szCs w:val="14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4FB4" w14:textId="77777777" w:rsidR="00626CB8" w:rsidRDefault="00626CB8" w:rsidP="00E23444">
      <w:pPr>
        <w:spacing w:line="240" w:lineRule="auto"/>
      </w:pPr>
      <w:r>
        <w:separator/>
      </w:r>
    </w:p>
  </w:endnote>
  <w:endnote w:type="continuationSeparator" w:id="0">
    <w:p w14:paraId="707C7B6D" w14:textId="77777777" w:rsidR="00626CB8" w:rsidRDefault="00626CB8" w:rsidP="00E23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A6CE" w14:textId="77777777" w:rsidR="00626CB8" w:rsidRDefault="00626CB8" w:rsidP="00E23444">
      <w:pPr>
        <w:spacing w:line="240" w:lineRule="auto"/>
      </w:pPr>
      <w:r>
        <w:separator/>
      </w:r>
    </w:p>
  </w:footnote>
  <w:footnote w:type="continuationSeparator" w:id="0">
    <w:p w14:paraId="7436F194" w14:textId="77777777" w:rsidR="00626CB8" w:rsidRDefault="00626CB8" w:rsidP="00E23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9D3" w14:textId="785BE290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</w:t>
    </w:r>
    <w:bookmarkStart w:id="0" w:name="_Hlk139977317"/>
    <w:r w:rsidR="00876087">
      <w:rPr>
        <w:rFonts w:ascii="Calibri" w:hAnsi="Calibri" w:cs="Calibri"/>
        <w:sz w:val="22"/>
      </w:rPr>
      <w:t>Znak sprawy: DZP.2511</w:t>
    </w:r>
    <w:r w:rsidR="0044708F">
      <w:rPr>
        <w:rFonts w:ascii="Calibri" w:hAnsi="Calibri" w:cs="Calibri"/>
        <w:sz w:val="22"/>
      </w:rPr>
      <w:t>.</w:t>
    </w:r>
    <w:r w:rsidR="004847F0">
      <w:rPr>
        <w:rFonts w:ascii="Calibri" w:hAnsi="Calibri" w:cs="Calibri"/>
        <w:sz w:val="22"/>
      </w:rPr>
      <w:t>5</w:t>
    </w:r>
    <w:r w:rsidR="00876087">
      <w:rPr>
        <w:rFonts w:ascii="Calibri" w:hAnsi="Calibri" w:cs="Calibri"/>
        <w:sz w:val="22"/>
      </w:rPr>
      <w:t>.202</w:t>
    </w:r>
    <w:bookmarkEnd w:id="0"/>
    <w:r w:rsidR="00FE3BAC">
      <w:rPr>
        <w:rFonts w:ascii="Calibri" w:hAnsi="Calibri" w:cs="Calibri"/>
        <w:sz w:val="22"/>
      </w:rPr>
      <w:t>4</w:t>
    </w:r>
    <w:r w:rsidR="00876087">
      <w:rPr>
        <w:rFonts w:ascii="Calibri" w:hAnsi="Calibri" w:cs="Calibri"/>
        <w:sz w:val="22"/>
      </w:rPr>
      <w:t xml:space="preserve">                                                </w:t>
    </w:r>
    <w:r w:rsidRPr="001E5536">
      <w:rPr>
        <w:rFonts w:ascii="Calibri" w:hAnsi="Calibri" w:cs="Calibri"/>
        <w:sz w:val="22"/>
      </w:rPr>
      <w:t xml:space="preserve">Załącznik nr </w:t>
    </w:r>
    <w:r w:rsidR="00197620">
      <w:rPr>
        <w:rFonts w:ascii="Calibri" w:hAnsi="Calibri" w:cs="Calibri"/>
        <w:sz w:val="22"/>
      </w:rPr>
      <w:t>4</w:t>
    </w:r>
    <w:r w:rsidRPr="001E5536">
      <w:rPr>
        <w:rFonts w:ascii="Calibri" w:hAnsi="Calibri" w:cs="Calibri"/>
        <w:sz w:val="22"/>
      </w:rPr>
      <w:t xml:space="preserve"> do </w:t>
    </w:r>
    <w:r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620">
      <w:rPr>
        <w:rFonts w:ascii="Calibri" w:hAnsi="Calibri" w:cs="Calibri"/>
        <w:sz w:val="22"/>
      </w:rPr>
      <w:t xml:space="preserve">Zapytania </w:t>
    </w:r>
    <w:r w:rsidR="00347D80">
      <w:rPr>
        <w:rFonts w:ascii="Calibri" w:hAnsi="Calibri" w:cs="Calibri"/>
        <w:sz w:val="22"/>
      </w:rPr>
      <w:t>O</w:t>
    </w:r>
    <w:r w:rsidR="00197620">
      <w:rPr>
        <w:rFonts w:ascii="Calibri" w:hAnsi="Calibri" w:cs="Calibri"/>
        <w:sz w:val="22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45A8D12A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C3DA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444"/>
    <w:rsid w:val="00045A45"/>
    <w:rsid w:val="0005066F"/>
    <w:rsid w:val="0006489C"/>
    <w:rsid w:val="00091970"/>
    <w:rsid w:val="000B71D8"/>
    <w:rsid w:val="000C2A42"/>
    <w:rsid w:val="000C44B7"/>
    <w:rsid w:val="000D0B34"/>
    <w:rsid w:val="000F4BEE"/>
    <w:rsid w:val="00143AF9"/>
    <w:rsid w:val="00154538"/>
    <w:rsid w:val="00197620"/>
    <w:rsid w:val="001D36E5"/>
    <w:rsid w:val="001D461F"/>
    <w:rsid w:val="001F3B0B"/>
    <w:rsid w:val="001F7E26"/>
    <w:rsid w:val="002134EB"/>
    <w:rsid w:val="002256EF"/>
    <w:rsid w:val="00256A08"/>
    <w:rsid w:val="00262AC6"/>
    <w:rsid w:val="00290257"/>
    <w:rsid w:val="002A53D3"/>
    <w:rsid w:val="002E6F51"/>
    <w:rsid w:val="002F6E1E"/>
    <w:rsid w:val="003147ED"/>
    <w:rsid w:val="00325E30"/>
    <w:rsid w:val="00346C00"/>
    <w:rsid w:val="00347D80"/>
    <w:rsid w:val="003839C3"/>
    <w:rsid w:val="00396471"/>
    <w:rsid w:val="003A5B62"/>
    <w:rsid w:val="003B1A94"/>
    <w:rsid w:val="003C0F1D"/>
    <w:rsid w:val="003F40A6"/>
    <w:rsid w:val="00404CA5"/>
    <w:rsid w:val="0040707F"/>
    <w:rsid w:val="004150B3"/>
    <w:rsid w:val="00426310"/>
    <w:rsid w:val="0044708F"/>
    <w:rsid w:val="00455516"/>
    <w:rsid w:val="00463F88"/>
    <w:rsid w:val="00470782"/>
    <w:rsid w:val="004715A7"/>
    <w:rsid w:val="004847F0"/>
    <w:rsid w:val="00487B79"/>
    <w:rsid w:val="004B77FF"/>
    <w:rsid w:val="004C5F24"/>
    <w:rsid w:val="004D32A4"/>
    <w:rsid w:val="004E4BA9"/>
    <w:rsid w:val="004E4F74"/>
    <w:rsid w:val="00516516"/>
    <w:rsid w:val="005215C9"/>
    <w:rsid w:val="00531147"/>
    <w:rsid w:val="005472CC"/>
    <w:rsid w:val="005551C8"/>
    <w:rsid w:val="0055679E"/>
    <w:rsid w:val="0056704A"/>
    <w:rsid w:val="00596C10"/>
    <w:rsid w:val="005A4863"/>
    <w:rsid w:val="00625A2D"/>
    <w:rsid w:val="00626CB8"/>
    <w:rsid w:val="0064220B"/>
    <w:rsid w:val="006431E0"/>
    <w:rsid w:val="0064676F"/>
    <w:rsid w:val="00661929"/>
    <w:rsid w:val="006626E5"/>
    <w:rsid w:val="006739B9"/>
    <w:rsid w:val="006B077E"/>
    <w:rsid w:val="0070466B"/>
    <w:rsid w:val="00726982"/>
    <w:rsid w:val="00733BC3"/>
    <w:rsid w:val="00737C42"/>
    <w:rsid w:val="00746195"/>
    <w:rsid w:val="007615E1"/>
    <w:rsid w:val="00775C42"/>
    <w:rsid w:val="007A462E"/>
    <w:rsid w:val="007A59B7"/>
    <w:rsid w:val="007B5ECC"/>
    <w:rsid w:val="007C0E86"/>
    <w:rsid w:val="007D748C"/>
    <w:rsid w:val="007D7F4C"/>
    <w:rsid w:val="007E07DA"/>
    <w:rsid w:val="00804A45"/>
    <w:rsid w:val="00817A17"/>
    <w:rsid w:val="00831AF5"/>
    <w:rsid w:val="00834F6C"/>
    <w:rsid w:val="00836EBC"/>
    <w:rsid w:val="00876087"/>
    <w:rsid w:val="00894E48"/>
    <w:rsid w:val="008A0B20"/>
    <w:rsid w:val="008A76A8"/>
    <w:rsid w:val="008B49C3"/>
    <w:rsid w:val="008B60E0"/>
    <w:rsid w:val="008F5D3E"/>
    <w:rsid w:val="009039B2"/>
    <w:rsid w:val="0092442C"/>
    <w:rsid w:val="009531DF"/>
    <w:rsid w:val="009660BC"/>
    <w:rsid w:val="00992D9F"/>
    <w:rsid w:val="009A5812"/>
    <w:rsid w:val="009B2AD3"/>
    <w:rsid w:val="009C004C"/>
    <w:rsid w:val="009D5A73"/>
    <w:rsid w:val="009E597F"/>
    <w:rsid w:val="009F2E8D"/>
    <w:rsid w:val="00A03FBE"/>
    <w:rsid w:val="00A07D80"/>
    <w:rsid w:val="00A13170"/>
    <w:rsid w:val="00A90DB7"/>
    <w:rsid w:val="00A97A4A"/>
    <w:rsid w:val="00AA7A24"/>
    <w:rsid w:val="00AB33BA"/>
    <w:rsid w:val="00AC1342"/>
    <w:rsid w:val="00AC618C"/>
    <w:rsid w:val="00AC79EB"/>
    <w:rsid w:val="00AE45CB"/>
    <w:rsid w:val="00AF5B9D"/>
    <w:rsid w:val="00B064A8"/>
    <w:rsid w:val="00B2519D"/>
    <w:rsid w:val="00B403DF"/>
    <w:rsid w:val="00B45005"/>
    <w:rsid w:val="00B708D5"/>
    <w:rsid w:val="00B718FD"/>
    <w:rsid w:val="00B87318"/>
    <w:rsid w:val="00BB6A65"/>
    <w:rsid w:val="00BB7561"/>
    <w:rsid w:val="00BC04D1"/>
    <w:rsid w:val="00BE0AF7"/>
    <w:rsid w:val="00BE75D0"/>
    <w:rsid w:val="00C01C82"/>
    <w:rsid w:val="00C13775"/>
    <w:rsid w:val="00C27474"/>
    <w:rsid w:val="00C36258"/>
    <w:rsid w:val="00C51EC9"/>
    <w:rsid w:val="00C53D3B"/>
    <w:rsid w:val="00C83833"/>
    <w:rsid w:val="00CB1435"/>
    <w:rsid w:val="00CB3B25"/>
    <w:rsid w:val="00CD2E1E"/>
    <w:rsid w:val="00CE45DD"/>
    <w:rsid w:val="00D44D81"/>
    <w:rsid w:val="00D82956"/>
    <w:rsid w:val="00D85C62"/>
    <w:rsid w:val="00DA6B65"/>
    <w:rsid w:val="00DB2E72"/>
    <w:rsid w:val="00DD3CC5"/>
    <w:rsid w:val="00E02766"/>
    <w:rsid w:val="00E23444"/>
    <w:rsid w:val="00E275DB"/>
    <w:rsid w:val="00E32114"/>
    <w:rsid w:val="00E458E8"/>
    <w:rsid w:val="00E631B0"/>
    <w:rsid w:val="00E74297"/>
    <w:rsid w:val="00E7668F"/>
    <w:rsid w:val="00E90C14"/>
    <w:rsid w:val="00E90F7E"/>
    <w:rsid w:val="00E95BF9"/>
    <w:rsid w:val="00EC0BE0"/>
    <w:rsid w:val="00EC5071"/>
    <w:rsid w:val="00ED4D6B"/>
    <w:rsid w:val="00F02DD3"/>
    <w:rsid w:val="00F21FD8"/>
    <w:rsid w:val="00F22CE1"/>
    <w:rsid w:val="00F3409A"/>
    <w:rsid w:val="00F42820"/>
    <w:rsid w:val="00F73315"/>
    <w:rsid w:val="00F83232"/>
    <w:rsid w:val="00FD4A95"/>
    <w:rsid w:val="00FE3BAC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56</cp:revision>
  <dcterms:created xsi:type="dcterms:W3CDTF">2023-05-04T11:15:00Z</dcterms:created>
  <dcterms:modified xsi:type="dcterms:W3CDTF">2024-01-29T09:04:00Z</dcterms:modified>
</cp:coreProperties>
</file>